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2D78E">
      <w:pPr>
        <w:spacing w:after="0"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启动前准备须知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533" w:tblpY="298"/>
        <w:tblW w:w="8775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thinThickSmallGap" w:color="auto" w:sz="18" w:space="0"/>
          <w:insideV w:val="thinThickSmallGap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 w14:paraId="2CC71D2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thinThickSmallGap" w:color="auto" w:sz="18" w:space="0"/>
            <w:insideV w:val="thinThickSmallGap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  <w:tcBorders>
              <w:top w:val="thinThickSmallGap" w:color="auto" w:sz="18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</w:tcPr>
          <w:p w14:paraId="274AC688">
            <w:pPr>
              <w:widowControl w:val="0"/>
              <w:spacing w:after="0" w:line="460" w:lineRule="exact"/>
              <w:jc w:val="both"/>
              <w:rPr>
                <w:rFonts w:ascii="黑体" w:hAnsi="Times New Roman" w:eastAsia="黑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/>
              </w:rPr>
              <w:t>注意</w:t>
            </w:r>
            <w:r>
              <w:rPr>
                <w:rFonts w:hint="eastAsia" w:ascii="黑体" w:hAnsi="Times New Roman" w:eastAsia="黑体" w:cs="Times New Roman"/>
                <w:b/>
                <w:kern w:val="2"/>
                <w:sz w:val="28"/>
                <w:szCs w:val="28"/>
              </w:rPr>
              <w:t>:</w:t>
            </w:r>
          </w:p>
          <w:p w14:paraId="5C5F9599">
            <w:pPr>
              <w:widowControl w:val="0"/>
              <w:numPr>
                <w:ilvl w:val="0"/>
                <w:numId w:val="1"/>
              </w:numPr>
              <w:spacing w:after="0" w:line="460" w:lineRule="exact"/>
              <w:jc w:val="both"/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  <w:t>确保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  <w:highlight w:val="yellow"/>
              </w:rPr>
              <w:t>立项、伦理、合同、研究团队维护、访视设计、一体化套餐配置、禁用药配置、经费到账管理、启动会前文件上传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  <w:t>全部完成，并经机构办质控员复核完成启动前质控后，才能与PI、机构办预约启动会时间，未完成请勿提前预约。</w:t>
            </w:r>
          </w:p>
          <w:p w14:paraId="25A7E73A">
            <w:pPr>
              <w:widowControl w:val="0"/>
              <w:numPr>
                <w:ilvl w:val="0"/>
                <w:numId w:val="1"/>
              </w:numPr>
              <w:spacing w:after="0" w:line="460" w:lineRule="exact"/>
              <w:jc w:val="both"/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  <w:t>CTMS方案配置、CTMS系统提交启动前文件可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  <w:highlight w:val="yellow"/>
              </w:rPr>
              <w:t>同步进行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  <w:t>。</w:t>
            </w:r>
          </w:p>
          <w:p w14:paraId="15B4B402">
            <w:pPr>
              <w:widowControl w:val="0"/>
              <w:numPr>
                <w:ilvl w:val="0"/>
                <w:numId w:val="1"/>
              </w:numPr>
              <w:spacing w:after="0" w:line="460" w:lineRule="exact"/>
              <w:jc w:val="both"/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  <w:lang w:val="en-US" w:eastAsia="zh-CN"/>
              </w:rPr>
              <w:t>预约启动前质控前，务必和立项专员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  <w:highlight w:val="yellow"/>
                <w:lang w:val="en-US" w:eastAsia="zh-CN"/>
              </w:rPr>
              <w:t>完成立项文件的确认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kern w:val="2"/>
                <w:sz w:val="28"/>
                <w:szCs w:val="28"/>
                <w:lang w:val="en-US" w:eastAsia="zh-CN"/>
              </w:rPr>
              <w:t>。如有特殊情况无法补齐，请和立项专员沟通。</w:t>
            </w:r>
          </w:p>
        </w:tc>
      </w:tr>
    </w:tbl>
    <w:p w14:paraId="10889E89">
      <w:pPr>
        <w:tabs>
          <w:tab w:val="left" w:pos="142"/>
          <w:tab w:val="left" w:pos="426"/>
        </w:tabs>
        <w:spacing w:after="0" w:line="360" w:lineRule="auto"/>
        <w:ind w:firstLine="0" w:firstLineChars="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</w:p>
    <w:p w14:paraId="7AC26149">
      <w:pPr>
        <w:keepNext/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启动前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需要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递交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的纸质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及相关设备等要求</w:t>
      </w:r>
    </w:p>
    <w:p w14:paraId="2A358FEB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启动前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需要提交的纸质文件详见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《立项阶段递交文件清单（原件/纸质清单）》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格式要求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立项文件格式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保持一致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015AFC7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启动前递交的所有文件，可以与立项文件放在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同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一个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文件夹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中（放在立项文件之后）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，不用另外准备文件夹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。</w:t>
      </w:r>
    </w:p>
    <w:p w14:paraId="01C25D7D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leftChars="0" w:firstLine="480" w:firstLineChars="200"/>
        <w:jc w:val="both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所有项目，只要涉及样本处理，必须准备至少一个温度计，专用于记录样本冰箱的温度，不得挪作他用。</w:t>
      </w:r>
    </w:p>
    <w:p w14:paraId="05945EC9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CTMS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方案配置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必须在项目启动前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完成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）</w:t>
      </w:r>
    </w:p>
    <w:p w14:paraId="56B7E21C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具体步骤请CRA登录我院CTMS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CRA在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【项目管理】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【使用说明及常见问题】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《中山一院临床试验项目管理系统用户手册-申办方》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研究者和CRC在【公告与使用说明】→【使用说明及常见问题】下载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《中山一院临床试验项目管理系统用户手册-专业组分册-适用于研究者》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，按照附件指引协助研究者完成方案配置。</w:t>
      </w:r>
    </w:p>
    <w:p w14:paraId="14CA4D0D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CRA及研究者在完成CTMS系统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立项、伦理、合同、研究团队维护、访视设计、一体化套餐配置、禁用药配置、经费到账管理、启动会前文件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上传后，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由科室质控员审核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访视设计、一体化套餐、禁用药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部分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E1F5EF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482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研究团队维护：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请联系PI到"研究团队管理"页面将CRC加入研究团队。</w:t>
      </w:r>
    </w:p>
    <w:p w14:paraId="4936604A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482" w:firstLineChars="200"/>
        <w:jc w:val="both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科室质控员审核后，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机构质控员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在启动前质控中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复核确认CTMS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配置情况适宜，才可启动。</w:t>
      </w:r>
    </w:p>
    <w:p w14:paraId="348B23CF">
      <w:pPr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有问题请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在CTMS沟通群反馈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44BD63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表格及处方设计</w:t>
      </w:r>
    </w:p>
    <w:p w14:paraId="1C4E0AB3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申办方需按照方案要求设计好项目各种表格，对照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附件1《药物临床试验启动前表格设计注意事项》先行审核，</w:t>
      </w:r>
      <w:r>
        <w:rPr>
          <w:rFonts w:ascii="Times New Roman" w:hAnsi="Times New Roman" w:eastAsia="宋体" w:cs="Times New Roman"/>
          <w:bCs/>
          <w:sz w:val="24"/>
          <w:szCs w:val="24"/>
        </w:rPr>
        <w:t>启动前质控时与机构质控员</w:t>
      </w:r>
      <w:r>
        <w:rPr>
          <w:rFonts w:ascii="Times New Roman" w:hAnsi="Times New Roman" w:eastAsia="宋体" w:cs="Times New Roman"/>
          <w:bCs/>
          <w:color w:val="FF0000"/>
          <w:sz w:val="24"/>
          <w:szCs w:val="24"/>
        </w:rPr>
        <w:t>当面复核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p w14:paraId="6FBE3FA0"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机构根据质控员多年质控经验设计了多种表格模板可供参考，CRA可在CTMS系统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→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项目管理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→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送审文件目录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→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《启动前各种表格（模板）》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中下载。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（仅供参考，可使用申办方自己的表格）</w:t>
      </w:r>
    </w:p>
    <w:p w14:paraId="5172405F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启动前需要递交的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电子版文件</w:t>
      </w:r>
    </w:p>
    <w:p w14:paraId="627554E6">
      <w:pPr>
        <w:numPr>
          <w:ilvl w:val="0"/>
          <w:numId w:val="5"/>
        </w:numPr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CTMS系统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启动会前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CTMS系统 → 项目管理 → 启动会前后文件清单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文件内容和注意事项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《启动前递交文件清单（仅适用于CTMS系统）》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下载地址：CTMS系统 → 项目管理 → 送审文件目录 →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启动前递交文件清单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提交后与质控员预约时间当面核对。</w:t>
      </w:r>
    </w:p>
    <w:p w14:paraId="12DDD9B6">
      <w:pPr>
        <w:numPr>
          <w:ilvl w:val="0"/>
          <w:numId w:val="5"/>
        </w:numPr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CTMS系统提交签署后的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合同扫描件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：CTMS系统 → 项目管理 → 合同管理。</w:t>
      </w:r>
    </w:p>
    <w:p w14:paraId="68801BB2">
      <w:pPr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启动会前直接发送给机构质控员的电子版文件：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项目方案、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ICF、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启动会PPT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 w14:paraId="1FE728BB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受控文件盖章</w:t>
      </w:r>
    </w:p>
    <w:p w14:paraId="2E9BF87B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1.科室质控员与CRA、CRC商讨确定需要进行受控盖章的文件清单并填写《临床试验中重点受控文件盖章申请》。（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详见《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临床试验文件受控管理 SOP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机构官网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临床试验专栏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办事指南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EDC6126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机构质控员在CTMS系统启动会前文件清单中审核确认《临床试验中重点受控文件盖章申请》后，提交科室质控员签字版本，进行受控盖章。</w:t>
      </w:r>
    </w:p>
    <w:p w14:paraId="153118F5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不需要在启动前质控带齐所有文件来盖受控章。</w:t>
      </w:r>
    </w:p>
    <w:p w14:paraId="0BB45DDA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及研究人员G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证书要求</w:t>
      </w:r>
    </w:p>
    <w:p w14:paraId="0E18901D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参与药物临床试验的，G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证书时间须在2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年7月1日之后（5年内有效），且须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为药物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证书。</w:t>
      </w:r>
    </w:p>
    <w:p w14:paraId="6B544376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参与器械临床试验的，G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证书时间须在2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年5月1日之后（5年内有效），且须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器械G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证书。</w:t>
      </w:r>
    </w:p>
    <w:p w14:paraId="46302A9F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启动会PPT内容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010B0BD2">
      <w:pPr>
        <w:spacing w:after="0" w:line="360" w:lineRule="auto"/>
        <w:ind w:firstLine="424" w:firstLineChars="17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宋体" w:cs="Times New Roman"/>
          <w:sz w:val="24"/>
          <w:szCs w:val="24"/>
        </w:rPr>
        <w:t>该项目相关培训内容。</w:t>
      </w:r>
    </w:p>
    <w:p w14:paraId="4A92863C">
      <w:pPr>
        <w:spacing w:after="0" w:line="360" w:lineRule="auto"/>
        <w:ind w:firstLine="424" w:firstLineChars="17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全国所有参研中心名称及研究期限信息。</w:t>
      </w:r>
    </w:p>
    <w:p w14:paraId="6D993B77">
      <w:pPr>
        <w:spacing w:after="0" w:line="360" w:lineRule="auto"/>
        <w:ind w:firstLine="424" w:firstLineChars="17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 前期临床试验中出现的不良事件，特别是与药物/器械相关的不良事件。</w:t>
      </w:r>
    </w:p>
    <w:p w14:paraId="1B06EFE6">
      <w:pPr>
        <w:spacing w:after="0" w:line="360" w:lineRule="auto"/>
        <w:ind w:firstLine="424" w:firstLineChars="17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4. </w:t>
      </w:r>
      <w:r>
        <w:rPr>
          <w:rFonts w:ascii="Times New Roman" w:hAnsi="Times New Roman" w:eastAsia="宋体" w:cs="Times New Roman"/>
          <w:sz w:val="24"/>
          <w:szCs w:val="24"/>
        </w:rPr>
        <w:t>CRA监查计划。</w:t>
      </w:r>
    </w:p>
    <w:p w14:paraId="38DE3D98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涉及盲态</w:t>
      </w:r>
    </w:p>
    <w:p w14:paraId="2CE6F77D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药物/器械管理，如涉及盲态/非盲人员，药物/器械管理相关表格以及研究者处方范式的设计需注意防止破盲。药物领取/回收表格需有非盲人员签字。</w:t>
      </w:r>
    </w:p>
    <w:p w14:paraId="066CFC72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HGR相关注意问题</w:t>
      </w:r>
    </w:p>
    <w:p w14:paraId="4F6814F2">
      <w:pPr>
        <w:pStyle w:val="15"/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 CRA核对HGR中样本采集量与ICF中描述是否一致，机构质控员在启动前质控中进行复核。</w:t>
      </w:r>
    </w:p>
    <w:p w14:paraId="5E498FE8">
      <w:pPr>
        <w:pStyle w:val="15"/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 CRA核对生物样本记录表中样本抽取的体积是否与HGR相关内容吻合（例如HGR要求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全血</w:t>
      </w:r>
      <w:r>
        <w:rPr>
          <w:rFonts w:hint="eastAsia" w:ascii="Times New Roman" w:hAnsi="Times New Roman" w:eastAsia="宋体" w:cs="Times New Roman"/>
          <w:sz w:val="24"/>
          <w:szCs w:val="24"/>
        </w:rPr>
        <w:t>&lt;</w:t>
      </w:r>
      <w:r>
        <w:rPr>
          <w:rFonts w:ascii="Times New Roman" w:hAnsi="Times New Roman" w:eastAsia="宋体" w:cs="Times New Roman"/>
          <w:sz w:val="24"/>
          <w:szCs w:val="24"/>
        </w:rPr>
        <w:t>2.5m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szCs w:val="24"/>
        </w:rPr>
        <w:t>，表中却记录为&gt;</w:t>
      </w:r>
      <w:r>
        <w:rPr>
          <w:rFonts w:ascii="Times New Roman" w:hAnsi="Times New Roman" w:eastAsia="宋体" w:cs="Times New Roman"/>
          <w:sz w:val="24"/>
          <w:szCs w:val="24"/>
        </w:rPr>
        <w:t>2.5m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</w:p>
    <w:p w14:paraId="13FDC527">
      <w:pPr>
        <w:pStyle w:val="15"/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 CRA需要与机构HGR专员在启动前进行沟通，注意实操过程中一些问题。</w:t>
      </w:r>
    </w:p>
    <w:p w14:paraId="282263A9">
      <w:pPr>
        <w:pStyle w:val="15"/>
        <w:numPr>
          <w:ilvl w:val="0"/>
          <w:numId w:val="6"/>
        </w:numPr>
        <w:spacing w:after="0" w:line="360" w:lineRule="auto"/>
        <w:ind w:left="1085" w:hanging="425" w:firstLineChars="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如有无未申报/超种类/超规格/超数量/超效期采集利用人类遗传资源；</w:t>
      </w:r>
    </w:p>
    <w:p w14:paraId="76D61241">
      <w:pPr>
        <w:pStyle w:val="15"/>
        <w:numPr>
          <w:ilvl w:val="0"/>
          <w:numId w:val="6"/>
        </w:numPr>
        <w:spacing w:after="0" w:line="360" w:lineRule="auto"/>
        <w:ind w:left="1085" w:hanging="425" w:firstLineChars="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有无取得国际合作行政许可或国际合作临床试验备案的，逾期未提交总结报告；</w:t>
      </w:r>
    </w:p>
    <w:p w14:paraId="557560CB">
      <w:pPr>
        <w:pStyle w:val="15"/>
        <w:numPr>
          <w:ilvl w:val="0"/>
          <w:numId w:val="6"/>
        </w:numPr>
        <w:spacing w:after="0" w:line="360" w:lineRule="auto"/>
        <w:ind w:left="1085" w:hanging="425" w:firstLineChars="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有无涉及基因数据和/或生物标志物数据的，未事先报告发表文章（含SCI、中文期刊、会议论文等）；</w:t>
      </w:r>
    </w:p>
    <w:p w14:paraId="388D8DC0">
      <w:pPr>
        <w:pStyle w:val="15"/>
        <w:numPr>
          <w:ilvl w:val="0"/>
          <w:numId w:val="6"/>
        </w:numPr>
        <w:spacing w:after="0" w:line="360" w:lineRule="auto"/>
        <w:ind w:left="1085" w:hanging="425" w:firstLineChars="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有无未按要求上报其他单位，如SMO/样本转运方/样本销毁方/EDC服务方/数据统计方等；</w:t>
      </w:r>
    </w:p>
    <w:p w14:paraId="3E285F1F">
      <w:pPr>
        <w:pStyle w:val="15"/>
        <w:numPr>
          <w:ilvl w:val="0"/>
          <w:numId w:val="6"/>
        </w:numPr>
        <w:spacing w:after="0" w:line="360" w:lineRule="auto"/>
        <w:ind w:left="1085" w:hanging="425" w:firstLineChars="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有无剩余人类遗传资源的处置违背临床试验方案和遗传办申请书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1BBA04E9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面试关注重点</w:t>
      </w:r>
    </w:p>
    <w:p w14:paraId="61AE26A5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为确认CRA/CRC熟悉我院临床试验相关流程，请提前学习本中心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安全性事件上报、方案偏离上报、医保占用防范要求</w:t>
      </w:r>
      <w:r>
        <w:rPr>
          <w:rFonts w:hint="eastAsia" w:ascii="Times New Roman" w:hAnsi="Times New Roman" w:eastAsia="宋体" w:cs="Times New Roman"/>
          <w:sz w:val="24"/>
          <w:szCs w:val="24"/>
        </w:rPr>
        <w:t>（机构和伦理官网自学），启动前质控带齐人员资质文件（岗前需面试考核），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请提前知悉。</w:t>
      </w:r>
    </w:p>
    <w:p w14:paraId="03D07516">
      <w:pPr>
        <w:pStyle w:val="15"/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 CRA 在我院备案、监查报到、变更，需参考《临床监查员（CRA）人员备案与交接SOP》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机构官网 →临床试验专栏 → 办事指南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5529D73A">
      <w:pPr>
        <w:pStyle w:val="15"/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 CRC 在我院备案、变更，需参考《临床研究协调员（CRC）人员备案与交接SOP》。CRA完成对CRC 2次培训记录和1次考核记录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702E9AAE">
      <w:pPr>
        <w:pStyle w:val="15"/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 项目进行中，开展稽查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/监查</w:t>
      </w:r>
      <w:r>
        <w:rPr>
          <w:rFonts w:hint="eastAsia" w:ascii="Times New Roman" w:hAnsi="Times New Roman" w:eastAsia="宋体" w:cs="Times New Roman"/>
          <w:sz w:val="24"/>
          <w:szCs w:val="24"/>
        </w:rPr>
        <w:t>，需参考《临床试验稽查SOP》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/《临床试验监查SOP》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2C1B8E96">
      <w:pPr>
        <w:pStyle w:val="15"/>
        <w:spacing w:after="0" w:line="360" w:lineRule="auto"/>
        <w:ind w:left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4. SAE、SUSAR、DSUR 等安全性事件的上报流程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需参考《药物临床试验严重不良事件（SAE）和可疑且非预期严重不良反应（SUSAR）报告SOP》、《医疗器械临床试验严重不良事件和器械缺陷报告SOP》及伦理相关流程。</w:t>
      </w:r>
    </w:p>
    <w:p w14:paraId="0F1464BC">
      <w:pPr>
        <w:pStyle w:val="15"/>
        <w:spacing w:after="0" w:line="360" w:lineRule="auto"/>
        <w:ind w:left="0"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！！！注意：SUSAR上报要区分本院SUSAR（单独递交）和外院SUSAR（汇总递交）</w:t>
      </w:r>
    </w:p>
    <w:p w14:paraId="732AD42C">
      <w:pPr>
        <w:numPr>
          <w:ilvl w:val="0"/>
          <w:numId w:val="2"/>
        </w:numPr>
        <w:spacing w:after="0"/>
        <w:ind w:left="-420" w:firstLine="420" w:firstLineChars="0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经费打款</w:t>
      </w:r>
    </w:p>
    <w:p w14:paraId="5EA65BB2">
      <w:pPr>
        <w:pStyle w:val="15"/>
        <w:numPr>
          <w:ilvl w:val="-1"/>
          <w:numId w:val="0"/>
        </w:numPr>
        <w:spacing w:after="0" w:line="360" w:lineRule="auto"/>
        <w:ind w:left="0" w:leftChars="0"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项目经费打款到账，拿到打款凭证后，填写《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经费入账通知</w:t>
      </w:r>
      <w:r>
        <w:rPr>
          <w:rFonts w:hint="eastAsia" w:ascii="Times New Roman" w:hAnsi="Times New Roman" w:eastAsia="宋体" w:cs="Times New Roman"/>
          <w:sz w:val="24"/>
          <w:szCs w:val="24"/>
        </w:rPr>
        <w:t>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机构官网 →临床试验专栏 → 资料下载专区 → 项目进展 下载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 PI签字后送来机构，机构质控员录入系统，办理登记，派发经费本，盖章。一般情况下，首笔款扣除税费后剩下的钱，需全部分配到“检查化验费”和“受试者补偿费”项下（也可在启动前质控中，与机构质控员商讨首笔款分配方案）。</w:t>
      </w:r>
    </w:p>
    <w:p w14:paraId="27A4848C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left="-420" w:leftChars="0" w:firstLine="420" w:firstLineChars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质控注意事项</w:t>
      </w:r>
    </w:p>
    <w:p w14:paraId="5BA765EA">
      <w:pPr>
        <w:pStyle w:val="15"/>
        <w:numPr>
          <w:ilvl w:val="0"/>
          <w:numId w:val="7"/>
        </w:numPr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入组第一例受试者后，请提示并联系机构质控员进行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早期质控</w:t>
      </w:r>
      <w:r>
        <w:rPr>
          <w:rFonts w:hint="eastAsia" w:ascii="Times New Roman" w:hAnsi="Times New Roman" w:eastAsia="宋体" w:cs="Times New Roman"/>
          <w:sz w:val="24"/>
          <w:szCs w:val="24"/>
        </w:rPr>
        <w:t>；入组数到合同计划例数的50%时，请提示并联系机构质控员进行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中期质控</w:t>
      </w:r>
      <w:r>
        <w:rPr>
          <w:rFonts w:hint="eastAsia" w:ascii="Times New Roman" w:hAnsi="Times New Roman" w:eastAsia="宋体" w:cs="Times New Roman"/>
          <w:sz w:val="24"/>
          <w:szCs w:val="24"/>
        </w:rPr>
        <w:t>；在数据库锁库前3个月或者最后一例受试者入组之后，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及时</w:t>
      </w:r>
      <w:r>
        <w:rPr>
          <w:rFonts w:hint="eastAsia" w:ascii="Times New Roman" w:hAnsi="Times New Roman" w:eastAsia="宋体" w:cs="Times New Roman"/>
          <w:sz w:val="24"/>
          <w:szCs w:val="24"/>
        </w:rPr>
        <w:t>联系机构质控员进行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锁库前质控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3E3A40C1">
      <w:pPr>
        <w:pStyle w:val="15"/>
        <w:numPr>
          <w:ilvl w:val="0"/>
          <w:numId w:val="7"/>
        </w:numPr>
        <w:spacing w:after="0" w:line="360" w:lineRule="auto"/>
        <w:ind w:left="0" w:firstLine="480" w:firstLineChars="20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为满足临床试验入排标准、不良事件、合并用药与禁忌用药的全面排查要求，请研究团队成员在各个访视前点击登陆门诊病历系统中的“健康平台健康档案调阅”，溯源受试者的在全广州市内就诊记录。</w:t>
      </w:r>
    </w:p>
    <w:p w14:paraId="1305AEB4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组长项目</w:t>
      </w:r>
    </w:p>
    <w:p w14:paraId="540ED3C0">
      <w:pPr>
        <w:tabs>
          <w:tab w:val="left" w:pos="0"/>
          <w:tab w:val="left" w:pos="426"/>
        </w:tabs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我中心为组长单位的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，项目相关信息须在“国家全民健康保障信息平台：医学研究登记备案信息系统”中登记，系统地址：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https://www.medicalresearch.org.cn/login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15BA7D3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启动会</w:t>
      </w:r>
    </w:p>
    <w:p w14:paraId="69505CC8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1.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以上事项完成后，才可与研究者预约启动会时间，再与机构办协商确定时间。</w:t>
      </w:r>
    </w:p>
    <w:p w14:paraId="3F3DB1A8"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eastAsia="宋体" w:cs="Times New Roman"/>
          <w:bCs/>
          <w:sz w:val="24"/>
          <w:szCs w:val="24"/>
        </w:rPr>
        <w:t>《授权分工表》中的所有人员均需确保参与启动培训，人员不齐，请与科室协商另行安排时间进行项目启动。</w:t>
      </w:r>
    </w:p>
    <w:p w14:paraId="0C9D3514"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3.启动会后，CRA在CTMS系统上传启动会后文件，并经机构质控员审核通过，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 w:val="24"/>
          <w:szCs w:val="24"/>
          <w:lang w:val="en-US" w:eastAsia="zh-CN"/>
        </w:rPr>
        <w:t>方可进入实施阶段筛选患者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 w14:paraId="31C7EE4D">
      <w:pPr>
        <w:numPr>
          <w:ilvl w:val="0"/>
          <w:numId w:val="2"/>
        </w:numPr>
        <w:spacing w:after="0" w:line="360" w:lineRule="auto"/>
        <w:ind w:left="-420" w:leftChars="0" w:firstLine="420"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试验用药品准备</w:t>
      </w:r>
    </w:p>
    <w:p w14:paraId="507FA12F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1. 启动会后，药房文件夹按照《GCP药房审核清单》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机构官网 →临床试验专栏 → 资料下载专区 → 项目进展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准备资料夹，递交至GCP药房，由药房老师审核保存。</w:t>
      </w:r>
    </w:p>
    <w:p w14:paraId="00D9E533">
      <w:pPr>
        <w:spacing w:after="0" w:line="360" w:lineRule="auto"/>
        <w:ind w:firstLine="480" w:firstLineChars="20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2. 科室保管的药物相关文件由GCP药房老师审核后科室保存。</w:t>
      </w:r>
    </w:p>
    <w:p w14:paraId="245929F0">
      <w:pPr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3. 试验用药品首次收药前，需找机构质控员领《临床试验用药品接收通知书》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交至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GCP药房。</w:t>
      </w:r>
    </w:p>
    <w:p w14:paraId="4AFA1841">
      <w:pPr>
        <w:numPr>
          <w:ilvl w:val="0"/>
          <w:numId w:val="2"/>
        </w:numPr>
        <w:spacing w:after="0" w:line="360" w:lineRule="auto"/>
        <w:ind w:left="-420" w:firstLine="420" w:firstLineChars="0"/>
        <w:jc w:val="both"/>
        <w:rPr>
          <w:rFonts w:hint="eastAsia" w:ascii="Times New Roman" w:hAnsi="Times New Roman" w:eastAsia="宋体"/>
          <w:b/>
          <w:bCs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1"/>
          <w:lang w:val="en-US" w:eastAsia="zh-CN"/>
        </w:rPr>
        <w:t>涉及特殊管理药品注意事项</w:t>
      </w:r>
    </w:p>
    <w:p w14:paraId="287A4263">
      <w:pPr>
        <w:pStyle w:val="15"/>
        <w:widowControl w:val="0"/>
        <w:numPr>
          <w:ilvl w:val="0"/>
          <w:numId w:val="8"/>
        </w:numPr>
        <w:spacing w:after="0" w:line="360" w:lineRule="auto"/>
        <w:ind w:left="8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/>
          <w:sz w:val="24"/>
        </w:rPr>
        <w:t>麻精药品监控每个月导出一次，并保存在文件夹中</w:t>
      </w:r>
      <w:r>
        <w:rPr>
          <w:rFonts w:hint="eastAsia" w:ascii="Times New Roman" w:hAnsi="Times New Roman" w:eastAsia="宋体"/>
          <w:sz w:val="24"/>
          <w:lang w:eastAsia="zh-CN"/>
        </w:rPr>
        <w:t>；</w:t>
      </w:r>
    </w:p>
    <w:p w14:paraId="5E815153">
      <w:pPr>
        <w:pStyle w:val="15"/>
        <w:widowControl w:val="0"/>
        <w:numPr>
          <w:ilvl w:val="0"/>
          <w:numId w:val="8"/>
        </w:numPr>
        <w:spacing w:line="360" w:lineRule="auto"/>
        <w:ind w:left="867" w:hanging="425" w:firstLineChars="0"/>
        <w:rPr>
          <w:rFonts w:hint="eastAsia" w:ascii="Times New Roman" w:hAnsi="Times New Roman" w:eastAsia="宋体"/>
          <w:b/>
          <w:bCs/>
          <w:sz w:val="24"/>
          <w:szCs w:val="21"/>
          <w:lang w:val="en-US" w:eastAsia="zh-CN"/>
        </w:rPr>
        <w:sectPr>
          <w:head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sz w:val="24"/>
        </w:rPr>
        <w:t>启动前，护士</w:t>
      </w:r>
      <w:r>
        <w:rPr>
          <w:rFonts w:hint="eastAsia" w:ascii="Times New Roman" w:hAnsi="Times New Roman" w:eastAsia="宋体"/>
          <w:sz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</w:rPr>
        <w:t>医生</w:t>
      </w:r>
      <w:r>
        <w:rPr>
          <w:rFonts w:hint="eastAsia" w:ascii="Times New Roman" w:hAnsi="Times New Roman" w:eastAsia="宋体"/>
          <w:sz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</w:rPr>
        <w:t>药师</w:t>
      </w:r>
      <w:r>
        <w:rPr>
          <w:rFonts w:hint="eastAsia" w:ascii="Times New Roman" w:hAnsi="Times New Roman" w:eastAsia="宋体"/>
          <w:sz w:val="24"/>
          <w:lang w:val="en-US" w:eastAsia="zh-CN"/>
        </w:rPr>
        <w:t>均</w:t>
      </w:r>
      <w:r>
        <w:rPr>
          <w:rFonts w:hint="eastAsia" w:ascii="Times New Roman" w:hAnsi="Times New Roman" w:eastAsia="宋体"/>
          <w:sz w:val="24"/>
        </w:rPr>
        <w:t>需要有医院的麻精药品的培训考核记录</w:t>
      </w:r>
      <w:r>
        <w:rPr>
          <w:rFonts w:hint="eastAsia" w:ascii="Times New Roman" w:hAnsi="Times New Roman" w:eastAsia="宋体"/>
          <w:sz w:val="24"/>
          <w:lang w:eastAsia="zh-CN"/>
        </w:rPr>
        <w:t>。</w:t>
      </w:r>
    </w:p>
    <w:p w14:paraId="23B81CF3">
      <w:pPr>
        <w:spacing w:line="12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附件1：</w:t>
      </w:r>
    </w:p>
    <w:p w14:paraId="462AB3AD">
      <w:pPr>
        <w:spacing w:line="120" w:lineRule="auto"/>
        <w:jc w:val="center"/>
        <w:rPr>
          <w:rFonts w:ascii="Times New Roman" w:hAnsi="Times New Roman" w:eastAsia="宋体"/>
          <w:b/>
          <w:bCs/>
          <w:sz w:val="24"/>
          <w:szCs w:val="144"/>
        </w:rPr>
      </w:pPr>
      <w:r>
        <w:rPr>
          <w:rFonts w:hint="eastAsia" w:ascii="Times New Roman" w:hAnsi="Times New Roman" w:eastAsia="宋体"/>
          <w:b/>
          <w:bCs/>
          <w:sz w:val="24"/>
          <w:szCs w:val="144"/>
        </w:rPr>
        <w:t>药物临床试验启动前表格设计注意事项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74"/>
        <w:gridCol w:w="7080"/>
        <w:gridCol w:w="2722"/>
      </w:tblGrid>
      <w:tr w14:paraId="3031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1481C8EF">
            <w:pPr>
              <w:widowControl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表格名称</w:t>
            </w:r>
          </w:p>
        </w:tc>
        <w:tc>
          <w:tcPr>
            <w:tcW w:w="802" w:type="pct"/>
          </w:tcPr>
          <w:p w14:paraId="3AABF0B2">
            <w:pPr>
              <w:widowControl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涉及内容</w:t>
            </w:r>
          </w:p>
        </w:tc>
        <w:tc>
          <w:tcPr>
            <w:tcW w:w="2497" w:type="pct"/>
          </w:tcPr>
          <w:p w14:paraId="22773B5F">
            <w:pPr>
              <w:widowControl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注意事项</w:t>
            </w:r>
          </w:p>
        </w:tc>
        <w:tc>
          <w:tcPr>
            <w:tcW w:w="960" w:type="pct"/>
          </w:tcPr>
          <w:p w14:paraId="10517C15">
            <w:pPr>
              <w:widowControl w:val="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 w14:paraId="0D38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0" w:type="pct"/>
          </w:tcPr>
          <w:p w14:paraId="33388DC1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受试者日记卡</w:t>
            </w:r>
          </w:p>
        </w:tc>
        <w:tc>
          <w:tcPr>
            <w:tcW w:w="802" w:type="pct"/>
          </w:tcPr>
          <w:p w14:paraId="77C2FFAD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用药依从性、安全性</w:t>
            </w:r>
          </w:p>
        </w:tc>
        <w:tc>
          <w:tcPr>
            <w:tcW w:w="2497" w:type="pct"/>
          </w:tcPr>
          <w:p w14:paraId="361F1C7C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需要设计受试者签名日期和研究者审核签名日期；</w:t>
            </w:r>
          </w:p>
          <w:p w14:paraId="59CB9A7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需要有地方供受试者填写不适和异常的情况；</w:t>
            </w:r>
          </w:p>
        </w:tc>
        <w:tc>
          <w:tcPr>
            <w:tcW w:w="960" w:type="pct"/>
          </w:tcPr>
          <w:p w14:paraId="3F49EF9F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口服药物必须设计日记卡</w:t>
            </w:r>
          </w:p>
        </w:tc>
      </w:tr>
      <w:tr w14:paraId="1BFA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04D55DE4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样本采集、处理和保存表</w:t>
            </w:r>
          </w:p>
        </w:tc>
        <w:tc>
          <w:tcPr>
            <w:tcW w:w="802" w:type="pct"/>
          </w:tcPr>
          <w:p w14:paraId="31138B9D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样本管理</w:t>
            </w:r>
          </w:p>
        </w:tc>
        <w:tc>
          <w:tcPr>
            <w:tcW w:w="2497" w:type="pct"/>
          </w:tcPr>
          <w:p w14:paraId="746D590E">
            <w:pPr>
              <w:pStyle w:val="1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需要设计冰箱编号/型号，温度计编号；</w:t>
            </w:r>
          </w:p>
          <w:p w14:paraId="27EA9F5F">
            <w:pPr>
              <w:pStyle w:val="1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需设计样本储存管编号（含主管/备份管）；</w:t>
            </w:r>
          </w:p>
          <w:p w14:paraId="39E23CF7">
            <w:pPr>
              <w:pStyle w:val="1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样本寄送需要记录运单编号；</w:t>
            </w:r>
          </w:p>
          <w:p w14:paraId="7F75C8F6">
            <w:pPr>
              <w:pStyle w:val="1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样本处理需要体现处理条件和处理过程，如静置时间、离心温度、离心力、温育条件、温育时间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上下颠倒次数</w:t>
            </w:r>
            <w:r>
              <w:rPr>
                <w:rFonts w:hint="eastAsia" w:ascii="Times New Roman" w:hAnsi="Times New Roman" w:eastAsia="宋体"/>
                <w:sz w:val="24"/>
              </w:rPr>
              <w:t>等。</w:t>
            </w:r>
          </w:p>
        </w:tc>
        <w:tc>
          <w:tcPr>
            <w:tcW w:w="960" w:type="pct"/>
          </w:tcPr>
          <w:p w14:paraId="7997D743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</w:p>
        </w:tc>
      </w:tr>
      <w:tr w14:paraId="024B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50A8970F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药品分发回收表</w:t>
            </w:r>
          </w:p>
        </w:tc>
        <w:tc>
          <w:tcPr>
            <w:tcW w:w="802" w:type="pct"/>
          </w:tcPr>
          <w:p w14:paraId="18F927E4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药品管理</w:t>
            </w:r>
          </w:p>
        </w:tc>
        <w:tc>
          <w:tcPr>
            <w:tcW w:w="2497" w:type="pct"/>
          </w:tcPr>
          <w:p w14:paraId="5DD44E66">
            <w:pPr>
              <w:pStyle w:val="15"/>
              <w:widowControl w:val="0"/>
              <w:spacing w:after="0" w:line="240" w:lineRule="auto"/>
              <w:ind w:left="0" w:firstLine="240" w:firstLineChars="100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回收药盒需清点至最小单位，例如：喷鼻剂需记录每盒中剩余喷数</w:t>
            </w:r>
          </w:p>
        </w:tc>
        <w:tc>
          <w:tcPr>
            <w:tcW w:w="960" w:type="pct"/>
          </w:tcPr>
          <w:p w14:paraId="40EE3934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病历中需要记录发药编号和回收情况</w:t>
            </w:r>
          </w:p>
        </w:tc>
      </w:tr>
      <w:tr w14:paraId="15B8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69920706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试验用药品输注表</w:t>
            </w:r>
          </w:p>
        </w:tc>
        <w:tc>
          <w:tcPr>
            <w:tcW w:w="802" w:type="pct"/>
          </w:tcPr>
          <w:p w14:paraId="1D90BC18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试验用药品管理</w:t>
            </w:r>
          </w:p>
        </w:tc>
        <w:tc>
          <w:tcPr>
            <w:tcW w:w="2497" w:type="pct"/>
          </w:tcPr>
          <w:p w14:paraId="2EB2B2BA">
            <w:pPr>
              <w:pStyle w:val="1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如有需要，需设计给药后观察时间；</w:t>
            </w:r>
          </w:p>
          <w:p w14:paraId="259E5887">
            <w:pPr>
              <w:pStyle w:val="1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需设计输液反应和输注中断的时间及原因。</w:t>
            </w:r>
          </w:p>
        </w:tc>
        <w:tc>
          <w:tcPr>
            <w:tcW w:w="960" w:type="pct"/>
          </w:tcPr>
          <w:p w14:paraId="401CCE74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</w:p>
        </w:tc>
      </w:tr>
      <w:tr w14:paraId="7EEF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68E5E6AA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试验用药品转运表</w:t>
            </w:r>
          </w:p>
        </w:tc>
        <w:tc>
          <w:tcPr>
            <w:tcW w:w="802" w:type="pct"/>
          </w:tcPr>
          <w:p w14:paraId="3FF3FF03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试验用药品管理</w:t>
            </w:r>
          </w:p>
        </w:tc>
        <w:tc>
          <w:tcPr>
            <w:tcW w:w="2497" w:type="pct"/>
          </w:tcPr>
          <w:p w14:paraId="493BB8CB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需要设计转运温度及转运时间等</w:t>
            </w:r>
          </w:p>
        </w:tc>
        <w:tc>
          <w:tcPr>
            <w:tcW w:w="960" w:type="pct"/>
          </w:tcPr>
          <w:p w14:paraId="69052A83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如涉及配置中心配液，需设计此表</w:t>
            </w:r>
          </w:p>
        </w:tc>
      </w:tr>
      <w:tr w14:paraId="23D9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1E7D513B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生命体征表</w:t>
            </w:r>
          </w:p>
        </w:tc>
        <w:tc>
          <w:tcPr>
            <w:tcW w:w="802" w:type="pct"/>
          </w:tcPr>
          <w:p w14:paraId="5273A3E6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安全性指标</w:t>
            </w:r>
          </w:p>
        </w:tc>
        <w:tc>
          <w:tcPr>
            <w:tcW w:w="2497" w:type="pct"/>
          </w:tcPr>
          <w:p w14:paraId="1A5868D9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设计为每个受试者一张表，以便观察生命体征变化。</w:t>
            </w:r>
          </w:p>
        </w:tc>
        <w:tc>
          <w:tcPr>
            <w:tcW w:w="960" w:type="pct"/>
          </w:tcPr>
          <w:p w14:paraId="7250471E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</w:p>
        </w:tc>
      </w:tr>
      <w:tr w14:paraId="73C5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 w14:paraId="17043388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肿瘤评估表</w:t>
            </w:r>
          </w:p>
        </w:tc>
        <w:tc>
          <w:tcPr>
            <w:tcW w:w="802" w:type="pct"/>
          </w:tcPr>
          <w:p w14:paraId="4CF68F8A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疗效指标</w:t>
            </w:r>
          </w:p>
        </w:tc>
        <w:tc>
          <w:tcPr>
            <w:tcW w:w="2497" w:type="pct"/>
          </w:tcPr>
          <w:p w14:paraId="47A74D51">
            <w:pPr>
              <w:pStyle w:val="15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需分别设计靶病灶、非靶病灶及总体评估；</w:t>
            </w:r>
          </w:p>
          <w:p w14:paraId="172C4164">
            <w:pPr>
              <w:pStyle w:val="15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需要设计肿瘤评估的检查时间、评估时间。</w:t>
            </w:r>
          </w:p>
        </w:tc>
        <w:tc>
          <w:tcPr>
            <w:tcW w:w="960" w:type="pct"/>
          </w:tcPr>
          <w:p w14:paraId="4F7A9E72">
            <w:pPr>
              <w:widowControl w:val="0"/>
              <w:jc w:val="both"/>
              <w:rPr>
                <w:rFonts w:ascii="Times New Roman" w:hAnsi="Times New Roman" w:eastAsia="宋体"/>
                <w:sz w:val="24"/>
              </w:rPr>
            </w:pPr>
          </w:p>
        </w:tc>
      </w:tr>
    </w:tbl>
    <w:p w14:paraId="56ABE33A">
      <w:pPr>
        <w:pStyle w:val="15"/>
        <w:widowControl w:val="0"/>
        <w:numPr>
          <w:ilvl w:val="-1"/>
          <w:numId w:val="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6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41E19">
    <w:pPr>
      <w:pStyle w:val="6"/>
      <w:ind w:left="6600" w:hanging="6603" w:hangingChars="1500"/>
      <w:jc w:val="left"/>
      <w:rPr>
        <w:rFonts w:hint="default" w:ascii="Times New Roman" w:hAnsi="Times New Roman" w:cs="Times New Roman" w:eastAsiaTheme="minorEastAsia"/>
        <w:bCs/>
        <w:lang w:val="en-US" w:eastAsia="zh-CN"/>
      </w:rPr>
    </w:pPr>
    <w:r>
      <w:rPr>
        <w:rFonts w:hint="eastAsia" w:ascii="宋体" w:hAnsi="宋体" w:cs="宋体"/>
        <w:b/>
        <w:sz w:val="44"/>
        <w:szCs w:val="44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-311785</wp:posOffset>
          </wp:positionV>
          <wp:extent cx="2011045" cy="524510"/>
          <wp:effectExtent l="0" t="0" r="8255" b="889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sz w:val="24"/>
        <w:szCs w:val="24"/>
      </w:rPr>
      <w:t xml:space="preserve">                                                       </w:t>
    </w:r>
    <w:r>
      <w:rPr>
        <w:rFonts w:ascii="Times New Roman" w:hAnsi="Times New Roman" w:cs="Times New Roman"/>
        <w:bCs/>
        <w:sz w:val="24"/>
        <w:szCs w:val="24"/>
      </w:rPr>
      <w:t>V</w:t>
    </w:r>
    <w:r>
      <w:rPr>
        <w:rFonts w:hint="eastAsia" w:ascii="Times New Roman" w:hAnsi="Times New Roman" w:cs="Times New Roman"/>
        <w:bCs/>
        <w:sz w:val="24"/>
        <w:szCs w:val="24"/>
      </w:rPr>
      <w:t>6.</w:t>
    </w:r>
    <w:r>
      <w:rPr>
        <w:rFonts w:hint="eastAsia" w:ascii="Times New Roman" w:hAnsi="Times New Roman" w:cs="Times New Roman"/>
        <w:bCs/>
        <w:sz w:val="24"/>
        <w:szCs w:val="24"/>
        <w:lang w:val="en-US" w:eastAsia="zh-CN"/>
      </w:rPr>
      <w:t>2</w:t>
    </w:r>
    <w:r>
      <w:rPr>
        <w:rFonts w:hint="eastAsia" w:ascii="Times New Roman" w:hAnsi="Times New Roman" w:cs="Times New Roman"/>
        <w:bCs/>
        <w:sz w:val="24"/>
        <w:szCs w:val="24"/>
      </w:rPr>
      <w:t xml:space="preserve"> 202</w:t>
    </w:r>
    <w:r>
      <w:rPr>
        <w:rFonts w:hint="eastAsia" w:ascii="Times New Roman" w:hAnsi="Times New Roman" w:cs="Times New Roman"/>
        <w:bCs/>
        <w:sz w:val="24"/>
        <w:szCs w:val="24"/>
        <w:lang w:val="en-US" w:eastAsia="zh-CN"/>
      </w:rPr>
      <w:t>50521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792D">
    <w:pPr>
      <w:pStyle w:val="6"/>
      <w:ind w:left="6600" w:hanging="6603" w:hangingChars="1500"/>
      <w:jc w:val="both"/>
      <w:rPr>
        <w:rFonts w:ascii="Times New Roman" w:hAnsi="Times New Roman" w:cs="Times New Roman"/>
        <w:bCs/>
      </w:rPr>
    </w:pPr>
    <w:r>
      <w:rPr>
        <w:rFonts w:hint="eastAsia" w:ascii="宋体" w:hAnsi="宋体" w:cs="宋体"/>
        <w:b/>
        <w:sz w:val="44"/>
        <w:szCs w:val="44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-92075</wp:posOffset>
          </wp:positionV>
          <wp:extent cx="2011045" cy="524510"/>
          <wp:effectExtent l="0" t="0" r="635" b="889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sz w:val="24"/>
        <w:szCs w:val="24"/>
      </w:rPr>
      <w:t xml:space="preserve">                                                                                                  </w:t>
    </w:r>
    <w:r>
      <w:rPr>
        <w:rFonts w:ascii="Times New Roman" w:hAnsi="Times New Roman" w:cs="Times New Roman"/>
        <w:bCs/>
        <w:sz w:val="24"/>
        <w:szCs w:val="24"/>
      </w:rPr>
      <w:t>V</w:t>
    </w:r>
    <w:r>
      <w:rPr>
        <w:rFonts w:hint="eastAsia" w:ascii="Times New Roman" w:hAnsi="Times New Roman" w:cs="Times New Roman"/>
        <w:bCs/>
        <w:sz w:val="24"/>
        <w:szCs w:val="24"/>
      </w:rPr>
      <w:t>6.</w:t>
    </w:r>
    <w:r>
      <w:rPr>
        <w:rFonts w:hint="eastAsia" w:ascii="Times New Roman" w:hAnsi="Times New Roman" w:cs="Times New Roman"/>
        <w:bCs/>
        <w:sz w:val="24"/>
        <w:szCs w:val="24"/>
        <w:lang w:val="en-US" w:eastAsia="zh-CN"/>
      </w:rPr>
      <w:t>2</w:t>
    </w:r>
    <w:r>
      <w:rPr>
        <w:rFonts w:hint="eastAsia" w:ascii="Times New Roman" w:hAnsi="Times New Roman" w:cs="Times New Roman"/>
        <w:bCs/>
        <w:sz w:val="24"/>
        <w:szCs w:val="24"/>
      </w:rPr>
      <w:t xml:space="preserve"> 202</w:t>
    </w:r>
    <w:r>
      <w:rPr>
        <w:rFonts w:hint="eastAsia" w:ascii="Times New Roman" w:hAnsi="Times New Roman" w:cs="Times New Roman"/>
        <w:bCs/>
        <w:sz w:val="24"/>
        <w:szCs w:val="24"/>
        <w:lang w:val="en-US" w:eastAsia="zh-CN"/>
      </w:rPr>
      <w:t>50521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CD957"/>
    <w:multiLevelType w:val="singleLevel"/>
    <w:tmpl w:val="809CD9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A020E75"/>
    <w:multiLevelType w:val="singleLevel"/>
    <w:tmpl w:val="FA020E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A3A29D6"/>
    <w:multiLevelType w:val="singleLevel"/>
    <w:tmpl w:val="FA3A29D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2F858AE"/>
    <w:multiLevelType w:val="singleLevel"/>
    <w:tmpl w:val="02F858A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29909B"/>
    <w:multiLevelType w:val="singleLevel"/>
    <w:tmpl w:val="0B29909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C7F232E"/>
    <w:multiLevelType w:val="singleLevel"/>
    <w:tmpl w:val="0C7F232E"/>
    <w:lvl w:ilvl="0" w:tentative="0">
      <w:start w:val="1"/>
      <w:numFmt w:val="decimal"/>
      <w:lvlText w:val="(%1)"/>
      <w:lvlJc w:val="left"/>
      <w:pPr>
        <w:ind w:left="1085" w:hanging="425"/>
      </w:pPr>
      <w:rPr>
        <w:rFonts w:hint="default"/>
      </w:rPr>
    </w:lvl>
  </w:abstractNum>
  <w:abstractNum w:abstractNumId="6">
    <w:nsid w:val="0EFC0919"/>
    <w:multiLevelType w:val="multilevel"/>
    <w:tmpl w:val="0EFC09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8FCAEB"/>
    <w:multiLevelType w:val="singleLevel"/>
    <w:tmpl w:val="328FCAEB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  <w:color w:val="auto"/>
      </w:rPr>
    </w:lvl>
  </w:abstractNum>
  <w:abstractNum w:abstractNumId="8">
    <w:nsid w:val="471F8E28"/>
    <w:multiLevelType w:val="singleLevel"/>
    <w:tmpl w:val="471F8E28"/>
    <w:lvl w:ilvl="0" w:tentative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abstractNum w:abstractNumId="9">
    <w:nsid w:val="59571F1A"/>
    <w:multiLevelType w:val="multilevel"/>
    <w:tmpl w:val="59571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C94F26"/>
    <w:multiLevelType w:val="singleLevel"/>
    <w:tmpl w:val="61C94F2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663F5D01"/>
    <w:multiLevelType w:val="multilevel"/>
    <w:tmpl w:val="663F5D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TY2MGI4ZWRmYzFmNGQwZmJkMDcyYzc4NWIxMjQifQ=="/>
    <w:docVar w:name="KSO_WPS_MARK_KEY" w:val="c749bc5a-a175-46a5-9650-29844efdc4f8"/>
  </w:docVars>
  <w:rsids>
    <w:rsidRoot w:val="00CA54DB"/>
    <w:rsid w:val="000002C6"/>
    <w:rsid w:val="00016E1D"/>
    <w:rsid w:val="000311F9"/>
    <w:rsid w:val="00042BD4"/>
    <w:rsid w:val="00042E08"/>
    <w:rsid w:val="000674B8"/>
    <w:rsid w:val="000A7622"/>
    <w:rsid w:val="000B2314"/>
    <w:rsid w:val="000C368E"/>
    <w:rsid w:val="000D2123"/>
    <w:rsid w:val="000E3995"/>
    <w:rsid w:val="000F027B"/>
    <w:rsid w:val="00111A94"/>
    <w:rsid w:val="00144A7D"/>
    <w:rsid w:val="001A7F9B"/>
    <w:rsid w:val="001B5972"/>
    <w:rsid w:val="001E595D"/>
    <w:rsid w:val="00200678"/>
    <w:rsid w:val="00201816"/>
    <w:rsid w:val="00212D5B"/>
    <w:rsid w:val="00222E2E"/>
    <w:rsid w:val="00237B98"/>
    <w:rsid w:val="00252A69"/>
    <w:rsid w:val="00283133"/>
    <w:rsid w:val="002A1518"/>
    <w:rsid w:val="002A1AE1"/>
    <w:rsid w:val="002B422A"/>
    <w:rsid w:val="002B45BE"/>
    <w:rsid w:val="002C7EC5"/>
    <w:rsid w:val="00306C5A"/>
    <w:rsid w:val="00306E35"/>
    <w:rsid w:val="00342910"/>
    <w:rsid w:val="00386762"/>
    <w:rsid w:val="00386DFE"/>
    <w:rsid w:val="00396657"/>
    <w:rsid w:val="003A1580"/>
    <w:rsid w:val="003B3C9B"/>
    <w:rsid w:val="003B529F"/>
    <w:rsid w:val="003E4174"/>
    <w:rsid w:val="00427212"/>
    <w:rsid w:val="00427472"/>
    <w:rsid w:val="0044083E"/>
    <w:rsid w:val="004525DD"/>
    <w:rsid w:val="00453110"/>
    <w:rsid w:val="004648D4"/>
    <w:rsid w:val="0046792C"/>
    <w:rsid w:val="004742FB"/>
    <w:rsid w:val="0048023D"/>
    <w:rsid w:val="0049582D"/>
    <w:rsid w:val="004C5126"/>
    <w:rsid w:val="0054026B"/>
    <w:rsid w:val="00554531"/>
    <w:rsid w:val="005661A9"/>
    <w:rsid w:val="005742E9"/>
    <w:rsid w:val="005B460D"/>
    <w:rsid w:val="005E1F3C"/>
    <w:rsid w:val="0061325B"/>
    <w:rsid w:val="006156EB"/>
    <w:rsid w:val="006226CE"/>
    <w:rsid w:val="00633072"/>
    <w:rsid w:val="006351E1"/>
    <w:rsid w:val="00640138"/>
    <w:rsid w:val="00650EED"/>
    <w:rsid w:val="00656CD8"/>
    <w:rsid w:val="00660313"/>
    <w:rsid w:val="00665BAD"/>
    <w:rsid w:val="006852CE"/>
    <w:rsid w:val="006B0A14"/>
    <w:rsid w:val="006B69AD"/>
    <w:rsid w:val="006F1360"/>
    <w:rsid w:val="0073568D"/>
    <w:rsid w:val="00744DDE"/>
    <w:rsid w:val="00763783"/>
    <w:rsid w:val="0077314E"/>
    <w:rsid w:val="00780A3A"/>
    <w:rsid w:val="007A05E4"/>
    <w:rsid w:val="007B03E1"/>
    <w:rsid w:val="007C1C97"/>
    <w:rsid w:val="007C38C4"/>
    <w:rsid w:val="007D5EF5"/>
    <w:rsid w:val="007E246F"/>
    <w:rsid w:val="007F66C7"/>
    <w:rsid w:val="0080055C"/>
    <w:rsid w:val="00814850"/>
    <w:rsid w:val="00830708"/>
    <w:rsid w:val="008625D5"/>
    <w:rsid w:val="00862806"/>
    <w:rsid w:val="008639EB"/>
    <w:rsid w:val="00876898"/>
    <w:rsid w:val="008904A0"/>
    <w:rsid w:val="008A2C54"/>
    <w:rsid w:val="008A466E"/>
    <w:rsid w:val="008A46B5"/>
    <w:rsid w:val="008A5ADD"/>
    <w:rsid w:val="00911C7F"/>
    <w:rsid w:val="009257C2"/>
    <w:rsid w:val="00932B9E"/>
    <w:rsid w:val="00984E90"/>
    <w:rsid w:val="009C5738"/>
    <w:rsid w:val="009D1F87"/>
    <w:rsid w:val="009E2DF6"/>
    <w:rsid w:val="009F4EF7"/>
    <w:rsid w:val="00A0361C"/>
    <w:rsid w:val="00A04A33"/>
    <w:rsid w:val="00A17354"/>
    <w:rsid w:val="00A31EA3"/>
    <w:rsid w:val="00A41BC5"/>
    <w:rsid w:val="00A43881"/>
    <w:rsid w:val="00A56C6D"/>
    <w:rsid w:val="00AB1AB5"/>
    <w:rsid w:val="00AB4877"/>
    <w:rsid w:val="00AF4EC5"/>
    <w:rsid w:val="00B00AAD"/>
    <w:rsid w:val="00B03B3B"/>
    <w:rsid w:val="00B142E2"/>
    <w:rsid w:val="00B4483D"/>
    <w:rsid w:val="00B52AD0"/>
    <w:rsid w:val="00B5621F"/>
    <w:rsid w:val="00B604B0"/>
    <w:rsid w:val="00B61F5D"/>
    <w:rsid w:val="00B76409"/>
    <w:rsid w:val="00B9195B"/>
    <w:rsid w:val="00B936A2"/>
    <w:rsid w:val="00B93F0E"/>
    <w:rsid w:val="00BD42C9"/>
    <w:rsid w:val="00BE37B7"/>
    <w:rsid w:val="00C010E2"/>
    <w:rsid w:val="00C012B2"/>
    <w:rsid w:val="00C02C8F"/>
    <w:rsid w:val="00C13702"/>
    <w:rsid w:val="00C2247F"/>
    <w:rsid w:val="00C32DB8"/>
    <w:rsid w:val="00C544D4"/>
    <w:rsid w:val="00C74FE0"/>
    <w:rsid w:val="00C84C57"/>
    <w:rsid w:val="00C91E5F"/>
    <w:rsid w:val="00C922A3"/>
    <w:rsid w:val="00CA4F1A"/>
    <w:rsid w:val="00CA54DB"/>
    <w:rsid w:val="00CD0BF7"/>
    <w:rsid w:val="00D274CB"/>
    <w:rsid w:val="00D40AD2"/>
    <w:rsid w:val="00D7092B"/>
    <w:rsid w:val="00D75014"/>
    <w:rsid w:val="00D91EDB"/>
    <w:rsid w:val="00DA2CDA"/>
    <w:rsid w:val="00DC24FF"/>
    <w:rsid w:val="00DD7AAB"/>
    <w:rsid w:val="00E20B6E"/>
    <w:rsid w:val="00E24AD5"/>
    <w:rsid w:val="00E266B6"/>
    <w:rsid w:val="00E90513"/>
    <w:rsid w:val="00EA0946"/>
    <w:rsid w:val="00EB0CAC"/>
    <w:rsid w:val="00EB4BF4"/>
    <w:rsid w:val="00EC332A"/>
    <w:rsid w:val="00EE0667"/>
    <w:rsid w:val="00F46020"/>
    <w:rsid w:val="00F52E16"/>
    <w:rsid w:val="00F53DA6"/>
    <w:rsid w:val="00F70B0D"/>
    <w:rsid w:val="00F73B9E"/>
    <w:rsid w:val="00F778CC"/>
    <w:rsid w:val="00F841BF"/>
    <w:rsid w:val="00F85F67"/>
    <w:rsid w:val="00FB3FD0"/>
    <w:rsid w:val="00FD366C"/>
    <w:rsid w:val="00FD7CD5"/>
    <w:rsid w:val="00FF4A66"/>
    <w:rsid w:val="01254650"/>
    <w:rsid w:val="01431A4A"/>
    <w:rsid w:val="0224187C"/>
    <w:rsid w:val="02B82331"/>
    <w:rsid w:val="03165668"/>
    <w:rsid w:val="03195159"/>
    <w:rsid w:val="034E14D2"/>
    <w:rsid w:val="036F252F"/>
    <w:rsid w:val="03B44E81"/>
    <w:rsid w:val="03B532EA"/>
    <w:rsid w:val="041D33D4"/>
    <w:rsid w:val="04247911"/>
    <w:rsid w:val="04455D70"/>
    <w:rsid w:val="04D94B9F"/>
    <w:rsid w:val="04E11CA6"/>
    <w:rsid w:val="050140F6"/>
    <w:rsid w:val="050F05C1"/>
    <w:rsid w:val="051A51B8"/>
    <w:rsid w:val="05557F9E"/>
    <w:rsid w:val="057161FA"/>
    <w:rsid w:val="05856AD5"/>
    <w:rsid w:val="05AE0D13"/>
    <w:rsid w:val="05B9677F"/>
    <w:rsid w:val="067601CC"/>
    <w:rsid w:val="067A684D"/>
    <w:rsid w:val="069074E0"/>
    <w:rsid w:val="06B31420"/>
    <w:rsid w:val="06B55198"/>
    <w:rsid w:val="06E415DA"/>
    <w:rsid w:val="070D0B30"/>
    <w:rsid w:val="07683FB9"/>
    <w:rsid w:val="07F67816"/>
    <w:rsid w:val="088C3CD7"/>
    <w:rsid w:val="08A059D4"/>
    <w:rsid w:val="08C01BD2"/>
    <w:rsid w:val="08C96CD9"/>
    <w:rsid w:val="091C32AD"/>
    <w:rsid w:val="09320D22"/>
    <w:rsid w:val="099F5C8C"/>
    <w:rsid w:val="09C6415A"/>
    <w:rsid w:val="0A047C6A"/>
    <w:rsid w:val="0A165F4E"/>
    <w:rsid w:val="0A8455AD"/>
    <w:rsid w:val="0A8E1F88"/>
    <w:rsid w:val="0B277DE2"/>
    <w:rsid w:val="0B3777D7"/>
    <w:rsid w:val="0B3F0F83"/>
    <w:rsid w:val="0B7078E0"/>
    <w:rsid w:val="0BD1062E"/>
    <w:rsid w:val="0C7F7B57"/>
    <w:rsid w:val="0CC73E1B"/>
    <w:rsid w:val="0CCC323C"/>
    <w:rsid w:val="0CFF5F3F"/>
    <w:rsid w:val="0D1D75F3"/>
    <w:rsid w:val="0D272220"/>
    <w:rsid w:val="0D366907"/>
    <w:rsid w:val="0D38267F"/>
    <w:rsid w:val="0D5154EF"/>
    <w:rsid w:val="0E1327A4"/>
    <w:rsid w:val="0EEF6D6E"/>
    <w:rsid w:val="0F1621BD"/>
    <w:rsid w:val="0F4D1870"/>
    <w:rsid w:val="0F6634D4"/>
    <w:rsid w:val="0F7756E1"/>
    <w:rsid w:val="0FF71EC5"/>
    <w:rsid w:val="10246EEB"/>
    <w:rsid w:val="10560FF0"/>
    <w:rsid w:val="11A025A1"/>
    <w:rsid w:val="11AC53EA"/>
    <w:rsid w:val="11D861DF"/>
    <w:rsid w:val="11EB7CC0"/>
    <w:rsid w:val="11F12DFD"/>
    <w:rsid w:val="12380A2C"/>
    <w:rsid w:val="13367661"/>
    <w:rsid w:val="136917E4"/>
    <w:rsid w:val="13E744B7"/>
    <w:rsid w:val="14027543"/>
    <w:rsid w:val="141F6347"/>
    <w:rsid w:val="14423DE3"/>
    <w:rsid w:val="145402E0"/>
    <w:rsid w:val="14A32AD4"/>
    <w:rsid w:val="14DB226E"/>
    <w:rsid w:val="15057BBE"/>
    <w:rsid w:val="150F3CC6"/>
    <w:rsid w:val="1544069F"/>
    <w:rsid w:val="15604521"/>
    <w:rsid w:val="158C76F5"/>
    <w:rsid w:val="15A07014"/>
    <w:rsid w:val="16104199"/>
    <w:rsid w:val="166938A9"/>
    <w:rsid w:val="1686445B"/>
    <w:rsid w:val="16A91EF8"/>
    <w:rsid w:val="16BC60CF"/>
    <w:rsid w:val="16C15493"/>
    <w:rsid w:val="171657DF"/>
    <w:rsid w:val="171E6442"/>
    <w:rsid w:val="175E3E48"/>
    <w:rsid w:val="18095344"/>
    <w:rsid w:val="18277578"/>
    <w:rsid w:val="185B5474"/>
    <w:rsid w:val="189F32E4"/>
    <w:rsid w:val="18BF5A03"/>
    <w:rsid w:val="18C948F8"/>
    <w:rsid w:val="19121FD6"/>
    <w:rsid w:val="1A0A42DF"/>
    <w:rsid w:val="1A106915"/>
    <w:rsid w:val="1A622A0A"/>
    <w:rsid w:val="1A6C3968"/>
    <w:rsid w:val="1B0D514B"/>
    <w:rsid w:val="1B4D5548"/>
    <w:rsid w:val="1B5508A0"/>
    <w:rsid w:val="1BD73063"/>
    <w:rsid w:val="1BEB4010"/>
    <w:rsid w:val="1BF34341"/>
    <w:rsid w:val="1C1222ED"/>
    <w:rsid w:val="1C136791"/>
    <w:rsid w:val="1CAC5F6D"/>
    <w:rsid w:val="1D036806"/>
    <w:rsid w:val="1D0C4F8F"/>
    <w:rsid w:val="1D65301C"/>
    <w:rsid w:val="1D6B43AB"/>
    <w:rsid w:val="1DB21FDA"/>
    <w:rsid w:val="1DC1221D"/>
    <w:rsid w:val="1DE2466D"/>
    <w:rsid w:val="1DF0665E"/>
    <w:rsid w:val="1DF148B0"/>
    <w:rsid w:val="1E3E386E"/>
    <w:rsid w:val="1F0028D1"/>
    <w:rsid w:val="1F8B663F"/>
    <w:rsid w:val="1FC61D6D"/>
    <w:rsid w:val="1FD46939"/>
    <w:rsid w:val="20586E69"/>
    <w:rsid w:val="20AD0837"/>
    <w:rsid w:val="20FF72E4"/>
    <w:rsid w:val="212B632B"/>
    <w:rsid w:val="213056EF"/>
    <w:rsid w:val="21AD11E7"/>
    <w:rsid w:val="221943D6"/>
    <w:rsid w:val="223A0D83"/>
    <w:rsid w:val="22433200"/>
    <w:rsid w:val="225C2E8F"/>
    <w:rsid w:val="22EA7B20"/>
    <w:rsid w:val="23AB3753"/>
    <w:rsid w:val="23EF1892"/>
    <w:rsid w:val="24A7216D"/>
    <w:rsid w:val="24DF260D"/>
    <w:rsid w:val="24FA6740"/>
    <w:rsid w:val="257162D7"/>
    <w:rsid w:val="259F1096"/>
    <w:rsid w:val="261E020C"/>
    <w:rsid w:val="26696B0D"/>
    <w:rsid w:val="268A58A2"/>
    <w:rsid w:val="268E3628"/>
    <w:rsid w:val="269E134D"/>
    <w:rsid w:val="26C54EAA"/>
    <w:rsid w:val="26CD39E1"/>
    <w:rsid w:val="26DC7F15"/>
    <w:rsid w:val="270E1E1D"/>
    <w:rsid w:val="27182F87"/>
    <w:rsid w:val="273E52BB"/>
    <w:rsid w:val="274719E5"/>
    <w:rsid w:val="274F43F6"/>
    <w:rsid w:val="27541A0C"/>
    <w:rsid w:val="279056DF"/>
    <w:rsid w:val="27BC5F2F"/>
    <w:rsid w:val="27E32542"/>
    <w:rsid w:val="28133675"/>
    <w:rsid w:val="28153891"/>
    <w:rsid w:val="284657F9"/>
    <w:rsid w:val="28546167"/>
    <w:rsid w:val="28BE1245"/>
    <w:rsid w:val="28C16B37"/>
    <w:rsid w:val="28F17E5A"/>
    <w:rsid w:val="290C4360"/>
    <w:rsid w:val="291B0A33"/>
    <w:rsid w:val="29EE0D7A"/>
    <w:rsid w:val="2A333AC3"/>
    <w:rsid w:val="2A6B59EA"/>
    <w:rsid w:val="2A9A62D0"/>
    <w:rsid w:val="2ABE3D6C"/>
    <w:rsid w:val="2ADC0696"/>
    <w:rsid w:val="2B0F45C8"/>
    <w:rsid w:val="2B332723"/>
    <w:rsid w:val="2B936FA7"/>
    <w:rsid w:val="2B980A61"/>
    <w:rsid w:val="2BDB6BA0"/>
    <w:rsid w:val="2BDD0222"/>
    <w:rsid w:val="2BF10171"/>
    <w:rsid w:val="2C0E6A96"/>
    <w:rsid w:val="2C136339"/>
    <w:rsid w:val="2C3A38C6"/>
    <w:rsid w:val="2C3E2A2D"/>
    <w:rsid w:val="2C5030EA"/>
    <w:rsid w:val="2C645E65"/>
    <w:rsid w:val="2CD45AC9"/>
    <w:rsid w:val="2D1C121E"/>
    <w:rsid w:val="2D1E6D44"/>
    <w:rsid w:val="2D962D7E"/>
    <w:rsid w:val="2D9F50BE"/>
    <w:rsid w:val="2DCF44E2"/>
    <w:rsid w:val="2DFD1478"/>
    <w:rsid w:val="2E0A551A"/>
    <w:rsid w:val="2E690493"/>
    <w:rsid w:val="2EB37960"/>
    <w:rsid w:val="2F3B0B6C"/>
    <w:rsid w:val="2F544C9F"/>
    <w:rsid w:val="2F762E67"/>
    <w:rsid w:val="2F96280C"/>
    <w:rsid w:val="2F9B28CE"/>
    <w:rsid w:val="2FA21EAE"/>
    <w:rsid w:val="2FAC6889"/>
    <w:rsid w:val="303C5A93"/>
    <w:rsid w:val="308570DA"/>
    <w:rsid w:val="309537C1"/>
    <w:rsid w:val="30B17ECF"/>
    <w:rsid w:val="30B359F5"/>
    <w:rsid w:val="31097D0B"/>
    <w:rsid w:val="31102E48"/>
    <w:rsid w:val="311741D6"/>
    <w:rsid w:val="313034EA"/>
    <w:rsid w:val="313905F0"/>
    <w:rsid w:val="31552F50"/>
    <w:rsid w:val="31771119"/>
    <w:rsid w:val="318850D4"/>
    <w:rsid w:val="31C75BFC"/>
    <w:rsid w:val="31D67BED"/>
    <w:rsid w:val="3207249C"/>
    <w:rsid w:val="323D7C6C"/>
    <w:rsid w:val="3240150B"/>
    <w:rsid w:val="325D3E6B"/>
    <w:rsid w:val="32625925"/>
    <w:rsid w:val="32827D75"/>
    <w:rsid w:val="32D700C1"/>
    <w:rsid w:val="32F80037"/>
    <w:rsid w:val="337376BE"/>
    <w:rsid w:val="337574FB"/>
    <w:rsid w:val="33884F17"/>
    <w:rsid w:val="348E2A01"/>
    <w:rsid w:val="35156C7E"/>
    <w:rsid w:val="352275ED"/>
    <w:rsid w:val="3522767C"/>
    <w:rsid w:val="35710A82"/>
    <w:rsid w:val="35847960"/>
    <w:rsid w:val="35DC779C"/>
    <w:rsid w:val="364517E5"/>
    <w:rsid w:val="368C7CB7"/>
    <w:rsid w:val="37774177"/>
    <w:rsid w:val="3810197F"/>
    <w:rsid w:val="3870241E"/>
    <w:rsid w:val="388F6D48"/>
    <w:rsid w:val="39050DB8"/>
    <w:rsid w:val="39186D3D"/>
    <w:rsid w:val="397D1296"/>
    <w:rsid w:val="39811AC3"/>
    <w:rsid w:val="39C62C3D"/>
    <w:rsid w:val="3A257964"/>
    <w:rsid w:val="3A4D6EBA"/>
    <w:rsid w:val="3A6A181A"/>
    <w:rsid w:val="3A6F375D"/>
    <w:rsid w:val="3A811FBB"/>
    <w:rsid w:val="3A916DA7"/>
    <w:rsid w:val="3AA840F1"/>
    <w:rsid w:val="3B091033"/>
    <w:rsid w:val="3B497682"/>
    <w:rsid w:val="3BB014AF"/>
    <w:rsid w:val="3BB07701"/>
    <w:rsid w:val="3BB64810"/>
    <w:rsid w:val="3BBA1AFD"/>
    <w:rsid w:val="3BE21884"/>
    <w:rsid w:val="3BFC2E5D"/>
    <w:rsid w:val="3C725AD9"/>
    <w:rsid w:val="3C7E335B"/>
    <w:rsid w:val="3C86525B"/>
    <w:rsid w:val="3D233F03"/>
    <w:rsid w:val="3D436353"/>
    <w:rsid w:val="3DA54918"/>
    <w:rsid w:val="3DB50FFF"/>
    <w:rsid w:val="3DEB2C72"/>
    <w:rsid w:val="3E26290F"/>
    <w:rsid w:val="3E274CBC"/>
    <w:rsid w:val="3E2D5039"/>
    <w:rsid w:val="3E5C76CC"/>
    <w:rsid w:val="3E7B666B"/>
    <w:rsid w:val="3EC11C25"/>
    <w:rsid w:val="3F2C3542"/>
    <w:rsid w:val="40503261"/>
    <w:rsid w:val="40572841"/>
    <w:rsid w:val="40B06E23"/>
    <w:rsid w:val="411E510D"/>
    <w:rsid w:val="416D1BF0"/>
    <w:rsid w:val="419D0727"/>
    <w:rsid w:val="41B35650"/>
    <w:rsid w:val="41F63994"/>
    <w:rsid w:val="42075BA1"/>
    <w:rsid w:val="423170C2"/>
    <w:rsid w:val="424D3EFC"/>
    <w:rsid w:val="42B850ED"/>
    <w:rsid w:val="42BF2B93"/>
    <w:rsid w:val="432E7063"/>
    <w:rsid w:val="434D7F2B"/>
    <w:rsid w:val="435412BA"/>
    <w:rsid w:val="43AC4C52"/>
    <w:rsid w:val="43B43B06"/>
    <w:rsid w:val="43EC14F2"/>
    <w:rsid w:val="444749AD"/>
    <w:rsid w:val="44B425C8"/>
    <w:rsid w:val="4508178B"/>
    <w:rsid w:val="451231DA"/>
    <w:rsid w:val="45257356"/>
    <w:rsid w:val="455235D7"/>
    <w:rsid w:val="455E3D2A"/>
    <w:rsid w:val="457345FE"/>
    <w:rsid w:val="459040FF"/>
    <w:rsid w:val="45ED50AE"/>
    <w:rsid w:val="45F4643C"/>
    <w:rsid w:val="464E1FF0"/>
    <w:rsid w:val="46A249C4"/>
    <w:rsid w:val="46CB1893"/>
    <w:rsid w:val="47040901"/>
    <w:rsid w:val="47094169"/>
    <w:rsid w:val="47215957"/>
    <w:rsid w:val="476B4E24"/>
    <w:rsid w:val="47976818"/>
    <w:rsid w:val="47E32C0C"/>
    <w:rsid w:val="47ED3A8B"/>
    <w:rsid w:val="48783354"/>
    <w:rsid w:val="48883495"/>
    <w:rsid w:val="489B7043"/>
    <w:rsid w:val="48A11261"/>
    <w:rsid w:val="48B60321"/>
    <w:rsid w:val="48F14EB5"/>
    <w:rsid w:val="498E0956"/>
    <w:rsid w:val="49A62143"/>
    <w:rsid w:val="49CC7DFC"/>
    <w:rsid w:val="4A2520E5"/>
    <w:rsid w:val="4A2C2648"/>
    <w:rsid w:val="4A6E0EB3"/>
    <w:rsid w:val="4A791606"/>
    <w:rsid w:val="4A7D4C52"/>
    <w:rsid w:val="4AA46594"/>
    <w:rsid w:val="4AF1008A"/>
    <w:rsid w:val="4B180E1F"/>
    <w:rsid w:val="4B3308EE"/>
    <w:rsid w:val="4BD74836"/>
    <w:rsid w:val="4BFD28D3"/>
    <w:rsid w:val="4BFE1197"/>
    <w:rsid w:val="4C771B75"/>
    <w:rsid w:val="4C8C73CE"/>
    <w:rsid w:val="4CD174D7"/>
    <w:rsid w:val="4CE865CF"/>
    <w:rsid w:val="4D5A127B"/>
    <w:rsid w:val="4D757914"/>
    <w:rsid w:val="4D7E765F"/>
    <w:rsid w:val="4DB36BDD"/>
    <w:rsid w:val="4E01203E"/>
    <w:rsid w:val="4E3304EA"/>
    <w:rsid w:val="4E676345"/>
    <w:rsid w:val="4EF70D4B"/>
    <w:rsid w:val="4F0771E0"/>
    <w:rsid w:val="4F0F2539"/>
    <w:rsid w:val="4F38383D"/>
    <w:rsid w:val="4F674123"/>
    <w:rsid w:val="4FEB6B02"/>
    <w:rsid w:val="50372C4F"/>
    <w:rsid w:val="50874A7C"/>
    <w:rsid w:val="509A6EF6"/>
    <w:rsid w:val="509B0528"/>
    <w:rsid w:val="50E33C7D"/>
    <w:rsid w:val="514E559A"/>
    <w:rsid w:val="516923D4"/>
    <w:rsid w:val="5180327A"/>
    <w:rsid w:val="51D017FA"/>
    <w:rsid w:val="523D116B"/>
    <w:rsid w:val="53081779"/>
    <w:rsid w:val="53DD0E57"/>
    <w:rsid w:val="5415239F"/>
    <w:rsid w:val="543C5B7E"/>
    <w:rsid w:val="546637F4"/>
    <w:rsid w:val="546E1AAF"/>
    <w:rsid w:val="547C241E"/>
    <w:rsid w:val="54A84FC1"/>
    <w:rsid w:val="54F14BBA"/>
    <w:rsid w:val="550D3076"/>
    <w:rsid w:val="551268DF"/>
    <w:rsid w:val="551A521B"/>
    <w:rsid w:val="55B300C2"/>
    <w:rsid w:val="55FC35CE"/>
    <w:rsid w:val="56535401"/>
    <w:rsid w:val="56644F18"/>
    <w:rsid w:val="568A7075"/>
    <w:rsid w:val="56934B81"/>
    <w:rsid w:val="56EB15F6"/>
    <w:rsid w:val="57803FD4"/>
    <w:rsid w:val="578A4E52"/>
    <w:rsid w:val="57A44166"/>
    <w:rsid w:val="57A71560"/>
    <w:rsid w:val="582E63D0"/>
    <w:rsid w:val="583D1EC5"/>
    <w:rsid w:val="584D65AC"/>
    <w:rsid w:val="586C6306"/>
    <w:rsid w:val="5874533C"/>
    <w:rsid w:val="58AD0DF8"/>
    <w:rsid w:val="59590F80"/>
    <w:rsid w:val="5991071A"/>
    <w:rsid w:val="59BD7190"/>
    <w:rsid w:val="59CF4E25"/>
    <w:rsid w:val="59D93E6F"/>
    <w:rsid w:val="59EF3692"/>
    <w:rsid w:val="5A13112F"/>
    <w:rsid w:val="5A1F7AD4"/>
    <w:rsid w:val="5A6B2D19"/>
    <w:rsid w:val="5AB02E22"/>
    <w:rsid w:val="5ACE4951"/>
    <w:rsid w:val="5AFC1BC3"/>
    <w:rsid w:val="5B0B62AA"/>
    <w:rsid w:val="5B4672E2"/>
    <w:rsid w:val="5B4A3FF2"/>
    <w:rsid w:val="5B7C4AB2"/>
    <w:rsid w:val="5BD963A8"/>
    <w:rsid w:val="5C1B42CB"/>
    <w:rsid w:val="5C3E7FB9"/>
    <w:rsid w:val="5CC606DB"/>
    <w:rsid w:val="5D373386"/>
    <w:rsid w:val="5D480A5E"/>
    <w:rsid w:val="5DD5309E"/>
    <w:rsid w:val="5DDF784D"/>
    <w:rsid w:val="5E391380"/>
    <w:rsid w:val="5E7B3747"/>
    <w:rsid w:val="5E7F0861"/>
    <w:rsid w:val="5F1A2F60"/>
    <w:rsid w:val="5F2142EE"/>
    <w:rsid w:val="5F5D4BFA"/>
    <w:rsid w:val="5F677827"/>
    <w:rsid w:val="5F683CCB"/>
    <w:rsid w:val="60636D25"/>
    <w:rsid w:val="60765F74"/>
    <w:rsid w:val="607C4ACE"/>
    <w:rsid w:val="6166060E"/>
    <w:rsid w:val="616D381B"/>
    <w:rsid w:val="61AE5B1B"/>
    <w:rsid w:val="61D2367E"/>
    <w:rsid w:val="62477432"/>
    <w:rsid w:val="62500A46"/>
    <w:rsid w:val="62540537"/>
    <w:rsid w:val="62791D4B"/>
    <w:rsid w:val="628E1C9B"/>
    <w:rsid w:val="632223E3"/>
    <w:rsid w:val="63660126"/>
    <w:rsid w:val="63A64DC2"/>
    <w:rsid w:val="63DC4C88"/>
    <w:rsid w:val="645111D2"/>
    <w:rsid w:val="64C51278"/>
    <w:rsid w:val="6511136D"/>
    <w:rsid w:val="65165F77"/>
    <w:rsid w:val="654900FB"/>
    <w:rsid w:val="658630FD"/>
    <w:rsid w:val="65BF216B"/>
    <w:rsid w:val="65D35C16"/>
    <w:rsid w:val="65D976D1"/>
    <w:rsid w:val="65E73470"/>
    <w:rsid w:val="66154481"/>
    <w:rsid w:val="661A1A97"/>
    <w:rsid w:val="66410DD2"/>
    <w:rsid w:val="66A82BFF"/>
    <w:rsid w:val="66E77BCB"/>
    <w:rsid w:val="6793565D"/>
    <w:rsid w:val="67B46C09"/>
    <w:rsid w:val="67F02AB0"/>
    <w:rsid w:val="683A1D0B"/>
    <w:rsid w:val="686D4100"/>
    <w:rsid w:val="68882CE8"/>
    <w:rsid w:val="689F6284"/>
    <w:rsid w:val="68FE744E"/>
    <w:rsid w:val="69A973BA"/>
    <w:rsid w:val="69CC30A8"/>
    <w:rsid w:val="69E87C5F"/>
    <w:rsid w:val="6A3D3FA6"/>
    <w:rsid w:val="6A674B7F"/>
    <w:rsid w:val="6AA50A05"/>
    <w:rsid w:val="6B552C26"/>
    <w:rsid w:val="6B6E08BB"/>
    <w:rsid w:val="6BD821D8"/>
    <w:rsid w:val="6BEE7306"/>
    <w:rsid w:val="6BF84629"/>
    <w:rsid w:val="6C3F7B62"/>
    <w:rsid w:val="6C8618FD"/>
    <w:rsid w:val="6CCC7C39"/>
    <w:rsid w:val="6CE10C19"/>
    <w:rsid w:val="6CE60B2B"/>
    <w:rsid w:val="6D6C0E2A"/>
    <w:rsid w:val="6D741A8D"/>
    <w:rsid w:val="6DD864C0"/>
    <w:rsid w:val="6E301E58"/>
    <w:rsid w:val="6E484FDA"/>
    <w:rsid w:val="6E5B49FB"/>
    <w:rsid w:val="6E7361E8"/>
    <w:rsid w:val="6E741186"/>
    <w:rsid w:val="6E7F2DDF"/>
    <w:rsid w:val="6EBE56B6"/>
    <w:rsid w:val="6EC802E2"/>
    <w:rsid w:val="6F223AF6"/>
    <w:rsid w:val="6F2B261F"/>
    <w:rsid w:val="6FC31F7F"/>
    <w:rsid w:val="70C26FB3"/>
    <w:rsid w:val="70D70CB1"/>
    <w:rsid w:val="70DB224B"/>
    <w:rsid w:val="70E70ADA"/>
    <w:rsid w:val="715916C6"/>
    <w:rsid w:val="718524BB"/>
    <w:rsid w:val="71E13469"/>
    <w:rsid w:val="71F87130"/>
    <w:rsid w:val="727B1B10"/>
    <w:rsid w:val="728B5C67"/>
    <w:rsid w:val="72966949"/>
    <w:rsid w:val="72D52FCE"/>
    <w:rsid w:val="73125FD0"/>
    <w:rsid w:val="73334198"/>
    <w:rsid w:val="735635BF"/>
    <w:rsid w:val="736D1458"/>
    <w:rsid w:val="73813156"/>
    <w:rsid w:val="738F5872"/>
    <w:rsid w:val="73A02C6B"/>
    <w:rsid w:val="73CA0659"/>
    <w:rsid w:val="7416389E"/>
    <w:rsid w:val="743401C8"/>
    <w:rsid w:val="74A25132"/>
    <w:rsid w:val="75342185"/>
    <w:rsid w:val="75BD6448"/>
    <w:rsid w:val="75D51537"/>
    <w:rsid w:val="75D9263D"/>
    <w:rsid w:val="75DC503C"/>
    <w:rsid w:val="75F93477"/>
    <w:rsid w:val="76432ED6"/>
    <w:rsid w:val="76A74C81"/>
    <w:rsid w:val="76E81E45"/>
    <w:rsid w:val="77130569"/>
    <w:rsid w:val="77B8537C"/>
    <w:rsid w:val="77F423AB"/>
    <w:rsid w:val="78767001"/>
    <w:rsid w:val="789B6A68"/>
    <w:rsid w:val="78BD078C"/>
    <w:rsid w:val="793F73F3"/>
    <w:rsid w:val="79481AEF"/>
    <w:rsid w:val="797F0137"/>
    <w:rsid w:val="79845137"/>
    <w:rsid w:val="79A945B3"/>
    <w:rsid w:val="7A546ECE"/>
    <w:rsid w:val="7A6C2327"/>
    <w:rsid w:val="7A8F6158"/>
    <w:rsid w:val="7AFF7CCA"/>
    <w:rsid w:val="7B7D06A6"/>
    <w:rsid w:val="7B7F441F"/>
    <w:rsid w:val="7B98728E"/>
    <w:rsid w:val="7C5C02BC"/>
    <w:rsid w:val="7C927690"/>
    <w:rsid w:val="7C9C2DAE"/>
    <w:rsid w:val="7CBD2EC6"/>
    <w:rsid w:val="7D0D7808"/>
    <w:rsid w:val="7D10023E"/>
    <w:rsid w:val="7D2A03BA"/>
    <w:rsid w:val="7D4476CE"/>
    <w:rsid w:val="7D5A35B8"/>
    <w:rsid w:val="7DE93DD1"/>
    <w:rsid w:val="7E062BD5"/>
    <w:rsid w:val="7E24305B"/>
    <w:rsid w:val="7E8A55B4"/>
    <w:rsid w:val="7E90144C"/>
    <w:rsid w:val="7EB838C2"/>
    <w:rsid w:val="7EDC3936"/>
    <w:rsid w:val="7F037115"/>
    <w:rsid w:val="7F9B5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254F-BF0D-4738-8220-965AA52D7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3687</Words>
  <Characters>3966</Characters>
  <Lines>37</Lines>
  <Paragraphs>10</Paragraphs>
  <TotalTime>21</TotalTime>
  <ScaleCrop>false</ScaleCrop>
  <LinksUpToDate>false</LinksUpToDate>
  <CharactersWithSpaces>4032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2023-10-12T03:43:00Z</dcterms:created>
  <dc:creator>张 蕊</dc:creator>
  <cp:lastModifiedBy>ZY</cp:lastModifiedBy>
  <cp:lastPrinted>2020-04-09T07:11:00Z</cp:lastPrinted>
  <dcterms:modified xsi:type="dcterms:W3CDTF">2025-08-21T12:51:53Z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96EEB01FA5F042878F09FE4ABF943259_13</vt:lpwstr>
  </property>
  <property fmtid="{D5CDD505-2E9C-101B-9397-08002B2CF9AE}" pid="4" name="KSOTemplateDocerSaveRecord">
    <vt:lpwstr>eyJoZGlkIjoiMmJiOTcyMTBlNTNmNjA1M2QyNWUxYTRlZmIzNTdhY2YiLCJ1c2VySWQiOiI0MjkyMDAzMTQifQ==</vt:lpwstr>
  </property>
</Properties>
</file>